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2AAA6182"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00590015">
        <w:rPr>
          <w:color w:val="1F497D"/>
        </w:rPr>
        <w:t>2.4</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bookmarkStart w:id="0" w:name="_GoBack"/>
      <w:bookmarkEnd w:id="0"/>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2F0E9842"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00590015">
        <w:rPr>
          <w:color w:val="1F497D"/>
        </w:rPr>
        <w:t>2.4</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669FE7B9">
        <w:rPr>
          <w:color w:val="1F497D"/>
        </w:rPr>
        <w:t>Trackdéchets</w:t>
      </w:r>
      <w:proofErr w:type="spellEnd"/>
      <w:r w:rsidRPr="669FE7B9">
        <w:rPr>
          <w:color w:val="1F497D"/>
        </w:rPr>
        <w:t xml:space="preserve">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 xml:space="preserve">Le Titulaire s’assure de la création des bordereaux de suivi de déchets (BSD) via </w:t>
      </w:r>
      <w:proofErr w:type="spellStart"/>
      <w:r w:rsidRPr="004E216E">
        <w:rPr>
          <w:color w:val="1F497D"/>
        </w:rPr>
        <w:t>Trackdéchets</w:t>
      </w:r>
      <w:proofErr w:type="spellEnd"/>
      <w:r w:rsidRPr="004E216E">
        <w:rPr>
          <w:color w:val="1F497D"/>
        </w:rPr>
        <w:t>.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 xml:space="preserve">Les entreprises de transport, collecte et traitement des déchets non dangereux, intervenant au profit du Titulaire, sont obligatoirement inscrites sur </w:t>
      </w:r>
      <w:proofErr w:type="spellStart"/>
      <w:r w:rsidRPr="669FE7B9">
        <w:rPr>
          <w:color w:val="1F497D"/>
        </w:rPr>
        <w:t>Trackdéchets</w:t>
      </w:r>
      <w:proofErr w:type="spellEnd"/>
      <w:r w:rsidRPr="669FE7B9">
        <w:rPr>
          <w:color w:val="1F497D"/>
        </w:rPr>
        <w:t>.</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77777777" w:rsidR="00071DF5" w:rsidRPr="0043670E" w:rsidRDefault="669FE7B9" w:rsidP="669FE7B9">
      <w:pPr>
        <w:ind w:left="1416"/>
        <w:rPr>
          <w:color w:val="1F497D"/>
        </w:rPr>
      </w:pPr>
      <w:r w:rsidRPr="669FE7B9">
        <w:rPr>
          <w:color w:val="1F497D"/>
        </w:rPr>
        <w:t>ESID de Lyon</w:t>
      </w:r>
    </w:p>
    <w:p w14:paraId="219209D2" w14:textId="77777777" w:rsidR="00071DF5" w:rsidRPr="0043670E" w:rsidRDefault="669FE7B9" w:rsidP="669FE7B9">
      <w:pPr>
        <w:ind w:left="1416"/>
        <w:rPr>
          <w:color w:val="1F497D"/>
        </w:rPr>
      </w:pPr>
      <w:r w:rsidRPr="669FE7B9">
        <w:rPr>
          <w:color w:val="1F497D"/>
        </w:rPr>
        <w:lastRenderedPageBreak/>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2E7215D4" w:rsidR="0043670E" w:rsidRDefault="0043670E" w:rsidP="669FE7B9">
      <w:pPr>
        <w:rPr>
          <w:color w:val="1F497D"/>
        </w:rPr>
      </w:pPr>
      <w:r>
        <w:rPr>
          <w:color w:val="1F497D"/>
        </w:rPr>
        <w:tab/>
      </w:r>
    </w:p>
    <w:p w14:paraId="6E99749D" w14:textId="77777777"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09ECADB1" w14:textId="77777777" w:rsidR="00ED21D9" w:rsidRPr="00ED21D9" w:rsidRDefault="00ED21D9" w:rsidP="00ED21D9">
      <w:pPr>
        <w:ind w:left="1416"/>
        <w:jc w:val="center"/>
        <w:rPr>
          <w:color w:val="1F497D"/>
        </w:rPr>
      </w:pPr>
      <w:r w:rsidRPr="00ED21D9">
        <w:rPr>
          <w:color w:val="1F497D"/>
        </w:rPr>
        <w:t>Adaptation du BT 156 pour accueil de la section POMFORTER</w:t>
      </w:r>
    </w:p>
    <w:p w14:paraId="101B912A" w14:textId="13D6D513" w:rsidR="00071DF5" w:rsidRPr="00ED21D9" w:rsidRDefault="00ED21D9" w:rsidP="00ED21D9">
      <w:pPr>
        <w:ind w:left="1416"/>
        <w:jc w:val="center"/>
        <w:rPr>
          <w:color w:val="1F497D"/>
        </w:rPr>
      </w:pPr>
      <w:r w:rsidRPr="00ED21D9">
        <w:rPr>
          <w:color w:val="1F497D"/>
        </w:rPr>
        <w:t>Travaux de voirie et réseaux divers</w:t>
      </w:r>
    </w:p>
    <w:p w14:paraId="0C9CC1EA" w14:textId="33B8E6A3" w:rsidR="00071DF5" w:rsidRPr="00ED21D9" w:rsidRDefault="00ED21D9" w:rsidP="00ED21D9">
      <w:pPr>
        <w:ind w:left="1416"/>
        <w:jc w:val="center"/>
        <w:rPr>
          <w:color w:val="1F497D"/>
        </w:rPr>
      </w:pPr>
      <w:r w:rsidRPr="00ED21D9">
        <w:rPr>
          <w:color w:val="1F497D"/>
        </w:rPr>
        <w:t>CAMP RAFFALLI</w:t>
      </w:r>
    </w:p>
    <w:p w14:paraId="74C7F6AF" w14:textId="03274035" w:rsidR="00071DF5" w:rsidRPr="0043670E" w:rsidRDefault="00ED21D9" w:rsidP="00ED21D9">
      <w:pPr>
        <w:ind w:left="1416"/>
        <w:jc w:val="center"/>
        <w:rPr>
          <w:color w:val="1F497D"/>
        </w:rPr>
      </w:pPr>
      <w:r w:rsidRPr="00ED21D9">
        <w:rPr>
          <w:color w:val="1F497D"/>
        </w:rPr>
        <w:t>20260 CALVI</w:t>
      </w:r>
    </w:p>
    <w:p w14:paraId="364F9F1F" w14:textId="43365C6A" w:rsidR="00071DF5" w:rsidRDefault="0D4F561C" w:rsidP="0D4F561C">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7AE822B7"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r w:rsidRPr="669FE7B9">
        <w:rPr>
          <w:color w:val="1F497D"/>
        </w:rPr>
        <w:t xml:space="preserve">USID </w:t>
      </w:r>
      <w:r w:rsidR="00ED21D9" w:rsidRPr="00ED21D9">
        <w:rPr>
          <w:color w:val="1F497D"/>
        </w:rPr>
        <w:t>SOLENZARA</w:t>
      </w:r>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w:t>
      </w:r>
      <w:proofErr w:type="spellStart"/>
      <w:r w:rsidRPr="669FE7B9">
        <w:rPr>
          <w:color w:val="1F497D"/>
        </w:rPr>
        <w:t>etc</w:t>
      </w:r>
      <w:proofErr w:type="spellEnd"/>
      <w:r w:rsidRPr="669FE7B9">
        <w:rPr>
          <w:color w:val="1F497D"/>
        </w:rPr>
        <w:t>).</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00ED21D9">
        <w:rPr>
          <w:color w:val="1F497D"/>
        </w:rPr>
        <w:t>4.3.1</w:t>
      </w:r>
      <w:r w:rsidRPr="669FE7B9">
        <w:rPr>
          <w:color w:val="1F497D"/>
        </w:rPr>
        <w:t xml:space="preserve"> du CCAP.</w:t>
      </w:r>
    </w:p>
    <w:p w14:paraId="57E2FC59" w14:textId="77777777" w:rsidR="00071DF5" w:rsidRDefault="00071DF5" w:rsidP="00731729"/>
    <w:p w14:paraId="39F7C5C3" w14:textId="77777777" w:rsidR="00071DF5" w:rsidRDefault="00071DF5" w:rsidP="00260D0D">
      <w:pPr>
        <w:jc w:val="both"/>
      </w:pPr>
    </w:p>
    <w:p w14:paraId="716AA51A" w14:textId="1DD1950C" w:rsidR="00071DF5" w:rsidRPr="00071DF5" w:rsidRDefault="669FE7B9" w:rsidP="669FE7B9">
      <w:pPr>
        <w:jc w:val="both"/>
        <w:rPr>
          <w:b/>
          <w:bCs/>
          <w:u w:val="single"/>
        </w:rPr>
      </w:pPr>
      <w:r w:rsidRPr="669FE7B9">
        <w:rPr>
          <w:b/>
          <w:bCs/>
          <w:u w:val="single"/>
        </w:rPr>
        <w:t>Pièce(s) de prix (DPGF)</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avec éventuellement DDPGF faisant apparaître «</w:t>
      </w:r>
      <w:r w:rsidRPr="669FE7B9">
        <w:rPr>
          <w:rFonts w:ascii="Calibri" w:hAnsi="Calibri" w:cs="Calibri"/>
        </w:rPr>
        <w:t> </w:t>
      </w:r>
      <w:r w:rsidRPr="669FE7B9">
        <w:rPr>
          <w:color w:val="1F497D"/>
        </w:rPr>
        <w:t xml:space="preserve">prise en compte du suivi des déchets </w:t>
      </w:r>
      <w:proofErr w:type="gramStart"/>
      <w:r w:rsidRPr="669FE7B9">
        <w:rPr>
          <w:color w:val="1F497D"/>
        </w:rPr>
        <w:t>via</w:t>
      </w:r>
      <w:proofErr w:type="gramEnd"/>
      <w:r w:rsidRPr="669FE7B9">
        <w:rPr>
          <w:color w:val="1F497D"/>
        </w:rPr>
        <w:t xml:space="preserve"> la plateforme </w:t>
      </w:r>
      <w:proofErr w:type="spellStart"/>
      <w:r w:rsidRPr="669FE7B9">
        <w:rPr>
          <w:color w:val="1F497D"/>
        </w:rPr>
        <w:t>Trackdéchet</w:t>
      </w:r>
      <w:proofErr w:type="spellEnd"/>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D5A9E"/>
    <w:rsid w:val="00260D0D"/>
    <w:rsid w:val="00277AEA"/>
    <w:rsid w:val="002A4752"/>
    <w:rsid w:val="002C743E"/>
    <w:rsid w:val="003A7F1A"/>
    <w:rsid w:val="003C37DE"/>
    <w:rsid w:val="00414B18"/>
    <w:rsid w:val="0043670E"/>
    <w:rsid w:val="004E216E"/>
    <w:rsid w:val="00590015"/>
    <w:rsid w:val="005D0C38"/>
    <w:rsid w:val="00621F4F"/>
    <w:rsid w:val="006353F3"/>
    <w:rsid w:val="00731729"/>
    <w:rsid w:val="008C3ED7"/>
    <w:rsid w:val="00990B0D"/>
    <w:rsid w:val="00A42445"/>
    <w:rsid w:val="00AD60E2"/>
    <w:rsid w:val="00B7208B"/>
    <w:rsid w:val="00BD557B"/>
    <w:rsid w:val="00BE7FA8"/>
    <w:rsid w:val="00C3577B"/>
    <w:rsid w:val="00D22650"/>
    <w:rsid w:val="00EB0B63"/>
    <w:rsid w:val="00ED21D9"/>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B96D-5E04-4E35-9ECE-06B3F28798D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www.w3.org/XML/1998/namespace"/>
    <ds:schemaRef ds:uri="http://purl.org/dc/dcmitype/"/>
  </ds:schemaRefs>
</ds:datastoreItem>
</file>

<file path=customXml/itemProps2.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22A92-CA98-49FE-9F3A-AA793A996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489</Words>
  <Characters>2695</Characters>
  <Application>Microsoft Office Word</Application>
  <DocSecurity>0</DocSecurity>
  <Lines>22</Lines>
  <Paragraphs>6</Paragraphs>
  <ScaleCrop>false</ScaleCrop>
  <Company>Ministère des Armées</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PACE Bernadette SA CONT CN DEVDURA</cp:lastModifiedBy>
  <cp:revision>9</cp:revision>
  <dcterms:created xsi:type="dcterms:W3CDTF">2022-09-02T08:34:00Z</dcterms:created>
  <dcterms:modified xsi:type="dcterms:W3CDTF">2025-05-26T09:43:00Z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